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6CA" w:rsidRDefault="005276CA">
      <w:pPr>
        <w:keepNext/>
        <w:pBdr>
          <w:top w:val="nil"/>
          <w:left w:val="nil"/>
          <w:bottom w:val="nil"/>
          <w:right w:val="nil"/>
          <w:between w:val="nil"/>
        </w:pBdr>
        <w:spacing w:after="240" w:line="240" w:lineRule="auto"/>
        <w:rPr>
          <w:rFonts w:ascii="Arial" w:eastAsia="Arial" w:hAnsi="Arial" w:cs="Arial"/>
          <w:b/>
          <w:color w:val="000000"/>
          <w:sz w:val="36"/>
          <w:szCs w:val="36"/>
        </w:rPr>
      </w:pPr>
    </w:p>
    <w:p w:rsidR="005276CA" w:rsidRDefault="00C93DE7">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5276CA" w:rsidRDefault="00C93DE7">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5276CA">
        <w:tc>
          <w:tcPr>
            <w:tcW w:w="2410" w:type="dxa"/>
            <w:shd w:val="clear" w:color="auto" w:fill="auto"/>
          </w:tcPr>
          <w:p w:rsidR="005276CA" w:rsidRDefault="005276CA">
            <w:pPr>
              <w:pBdr>
                <w:top w:val="nil"/>
                <w:left w:val="nil"/>
                <w:bottom w:val="nil"/>
                <w:right w:val="nil"/>
                <w:between w:val="nil"/>
              </w:pBdr>
              <w:spacing w:after="120"/>
              <w:ind w:left="-108"/>
              <w:rPr>
                <w:rFonts w:ascii="Arial" w:eastAsia="Arial" w:hAnsi="Arial" w:cs="Arial"/>
                <w:b/>
                <w:color w:val="000000"/>
                <w:sz w:val="24"/>
                <w:szCs w:val="24"/>
              </w:rPr>
            </w:pPr>
          </w:p>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5276CA" w:rsidRDefault="005276CA">
            <w:pPr>
              <w:pBdr>
                <w:top w:val="nil"/>
                <w:left w:val="nil"/>
                <w:bottom w:val="nil"/>
                <w:right w:val="nil"/>
                <w:between w:val="nil"/>
              </w:pBdr>
              <w:spacing w:after="120"/>
              <w:ind w:left="-108"/>
              <w:rPr>
                <w:rFonts w:ascii="Arial" w:eastAsia="Arial" w:hAnsi="Arial" w:cs="Arial"/>
                <w:b/>
                <w:color w:val="000000"/>
                <w:sz w:val="24"/>
                <w:szCs w:val="24"/>
              </w:rPr>
            </w:pPr>
          </w:p>
        </w:tc>
        <w:tc>
          <w:tcPr>
            <w:tcW w:w="5953" w:type="dxa"/>
            <w:shd w:val="clear" w:color="auto" w:fill="auto"/>
          </w:tcPr>
          <w:p w:rsidR="005276CA" w:rsidRDefault="005276CA">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p>
          <w:p w:rsidR="005276CA" w:rsidRDefault="00C93DE7">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276CA">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5276CA">
        <w:trPr>
          <w:trHeight w:val="359"/>
        </w:trPr>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276CA">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5276CA">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5276CA">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p w:rsidR="005276CA" w:rsidRDefault="00C93DE7">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“Social Value Review”</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p w:rsidR="005276CA" w:rsidRDefault="00C93DE7">
            <w:pPr>
              <w:tabs>
                <w:tab w:val="left" w:pos="-9"/>
                <w:tab w:val="left" w:pos="-179"/>
              </w:tabs>
              <w:spacing w:before="240" w:after="240" w:line="276" w:lineRule="auto"/>
              <w:rPr>
                <w:rFonts w:ascii="Arial" w:eastAsia="Arial" w:hAnsi="Arial" w:cs="Arial"/>
                <w:sz w:val="24"/>
                <w:szCs w:val="24"/>
              </w:rPr>
            </w:pPr>
            <w:r>
              <w:rPr>
                <w:rFonts w:ascii="Arial" w:eastAsia="Arial" w:hAnsi="Arial" w:cs="Arial"/>
                <w:sz w:val="24"/>
                <w:szCs w:val="24"/>
              </w:rPr>
              <w:t>A review detailing Supplier’s delivery against social value commitments made in the Supplier’s Call-Off Contract tender or agreed in the Supplier’s social value implementation plan.</w:t>
            </w:r>
          </w:p>
        </w:tc>
      </w:tr>
    </w:tbl>
    <w:p w:rsidR="005276CA" w:rsidRDefault="00C93DE7">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 send Performance Monitoring Reports to the Buyer detailing the level of service which was achieved in accordance with the provisions of Part B (Performance Monitoring) of this Schedule.</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rsidR="005276CA" w:rsidRDefault="00C93DE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5276CA" w:rsidRDefault="00C93DE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5276CA" w:rsidRDefault="00C93DE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5276CA" w:rsidRDefault="00C93DE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5276CA" w:rsidRDefault="00C93DE7">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5276CA" w:rsidRDefault="00C93DE7">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5276CA" w:rsidRDefault="00C93DE7">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5276CA" w:rsidRDefault="005276CA">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5276CA" w:rsidRDefault="00C93DE7">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rsidR="005276CA" w:rsidRDefault="00C93DE7">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5276CA" w:rsidRDefault="00C93DE7">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5276CA" w:rsidRDefault="00C93DE7">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5276CA" w:rsidRDefault="00C93DE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276CA" w:rsidRDefault="00C93DE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5276CA" w:rsidRDefault="00C93DE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rsidR="005276CA" w:rsidRDefault="00C93DE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5276CA" w:rsidRDefault="00C93DE7">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276CA" w:rsidRDefault="00C93DE7">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Annex A to Part A: Services Levels and Service Credits Table</w:t>
      </w:r>
    </w:p>
    <w:p w:rsidR="005276CA" w:rsidRDefault="005276CA">
      <w:pPr>
        <w:ind w:left="709"/>
        <w:rPr>
          <w:rFonts w:ascii="Arial" w:eastAsia="Arial" w:hAnsi="Arial" w:cs="Arial"/>
          <w:sz w:val="24"/>
          <w:szCs w:val="24"/>
        </w:rPr>
      </w:pPr>
    </w:p>
    <w:tbl>
      <w:tblPr>
        <w:tblStyle w:val="a3"/>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25"/>
        <w:gridCol w:w="1380"/>
        <w:gridCol w:w="2655"/>
        <w:gridCol w:w="1440"/>
        <w:gridCol w:w="1305"/>
      </w:tblGrid>
      <w:tr w:rsidR="005276CA">
        <w:trPr>
          <w:trHeight w:val="1213"/>
          <w:tblHeader/>
          <w:jc w:val="center"/>
        </w:trPr>
        <w:tc>
          <w:tcPr>
            <w:tcW w:w="7200" w:type="dxa"/>
            <w:gridSpan w:val="4"/>
            <w:shd w:val="clear" w:color="auto" w:fill="D9D9D9"/>
          </w:tcPr>
          <w:p w:rsidR="005276CA" w:rsidRDefault="00C93DE7">
            <w:pPr>
              <w:ind w:left="95"/>
              <w:rPr>
                <w:rFonts w:ascii="Arial" w:eastAsia="Arial" w:hAnsi="Arial" w:cs="Arial"/>
                <w:sz w:val="24"/>
                <w:szCs w:val="24"/>
              </w:rPr>
            </w:pPr>
            <w:r>
              <w:rPr>
                <w:rFonts w:ascii="Arial" w:eastAsia="Arial" w:hAnsi="Arial" w:cs="Arial"/>
                <w:sz w:val="24"/>
                <w:szCs w:val="24"/>
              </w:rPr>
              <w:t>Service Levels</w:t>
            </w:r>
          </w:p>
        </w:tc>
        <w:tc>
          <w:tcPr>
            <w:tcW w:w="1305" w:type="dxa"/>
            <w:vMerge w:val="restart"/>
            <w:shd w:val="clear" w:color="auto" w:fill="D9D9D9"/>
            <w:vAlign w:val="center"/>
          </w:tcPr>
          <w:p w:rsidR="005276CA" w:rsidRDefault="00C93DE7">
            <w:pPr>
              <w:ind w:left="95"/>
              <w:rPr>
                <w:rFonts w:ascii="Arial" w:eastAsia="Arial" w:hAnsi="Arial" w:cs="Arial"/>
                <w:sz w:val="24"/>
                <w:szCs w:val="24"/>
              </w:rPr>
            </w:pPr>
            <w:r>
              <w:rPr>
                <w:rFonts w:ascii="Arial" w:eastAsia="Arial" w:hAnsi="Arial" w:cs="Arial"/>
                <w:sz w:val="24"/>
                <w:szCs w:val="24"/>
              </w:rPr>
              <w:t>Service Credit for each Service Period</w:t>
            </w:r>
          </w:p>
          <w:p w:rsidR="005276CA" w:rsidRDefault="005276CA">
            <w:pPr>
              <w:ind w:left="95"/>
              <w:rPr>
                <w:rFonts w:ascii="Arial" w:eastAsia="Arial" w:hAnsi="Arial" w:cs="Arial"/>
                <w:sz w:val="24"/>
                <w:szCs w:val="24"/>
              </w:rPr>
            </w:pPr>
          </w:p>
        </w:tc>
      </w:tr>
      <w:tr w:rsidR="005276CA">
        <w:trPr>
          <w:trHeight w:val="1213"/>
          <w:tblHeader/>
          <w:jc w:val="center"/>
        </w:trPr>
        <w:tc>
          <w:tcPr>
            <w:tcW w:w="1725" w:type="dxa"/>
            <w:shd w:val="clear" w:color="auto" w:fill="D9D9D9"/>
            <w:vAlign w:val="center"/>
          </w:tcPr>
          <w:p w:rsidR="005276CA" w:rsidRDefault="00C93DE7">
            <w:pPr>
              <w:ind w:left="61"/>
              <w:rPr>
                <w:rFonts w:ascii="Arial" w:eastAsia="Arial" w:hAnsi="Arial" w:cs="Arial"/>
                <w:sz w:val="24"/>
                <w:szCs w:val="24"/>
              </w:rPr>
            </w:pPr>
            <w:r>
              <w:rPr>
                <w:rFonts w:ascii="Arial" w:eastAsia="Arial" w:hAnsi="Arial" w:cs="Arial"/>
                <w:sz w:val="24"/>
                <w:szCs w:val="24"/>
              </w:rPr>
              <w:t>Service Level Performance Criterion</w:t>
            </w:r>
          </w:p>
        </w:tc>
        <w:tc>
          <w:tcPr>
            <w:tcW w:w="1380" w:type="dxa"/>
            <w:shd w:val="clear" w:color="auto" w:fill="D9D9D9"/>
            <w:vAlign w:val="center"/>
          </w:tcPr>
          <w:p w:rsidR="005276CA" w:rsidRDefault="00C93DE7">
            <w:pPr>
              <w:ind w:left="95"/>
              <w:rPr>
                <w:rFonts w:ascii="Arial" w:eastAsia="Arial" w:hAnsi="Arial" w:cs="Arial"/>
                <w:sz w:val="24"/>
                <w:szCs w:val="24"/>
              </w:rPr>
            </w:pPr>
            <w:r>
              <w:rPr>
                <w:rFonts w:ascii="Arial" w:eastAsia="Arial" w:hAnsi="Arial" w:cs="Arial"/>
                <w:sz w:val="24"/>
                <w:szCs w:val="24"/>
              </w:rPr>
              <w:t>Key Indicator</w:t>
            </w:r>
          </w:p>
        </w:tc>
        <w:tc>
          <w:tcPr>
            <w:tcW w:w="2655" w:type="dxa"/>
            <w:shd w:val="clear" w:color="auto" w:fill="D9D9D9"/>
            <w:vAlign w:val="center"/>
          </w:tcPr>
          <w:p w:rsidR="005276CA" w:rsidRDefault="00C93DE7">
            <w:pPr>
              <w:rPr>
                <w:rFonts w:ascii="Arial" w:eastAsia="Arial" w:hAnsi="Arial" w:cs="Arial"/>
                <w:sz w:val="24"/>
                <w:szCs w:val="24"/>
              </w:rPr>
            </w:pPr>
            <w:r>
              <w:rPr>
                <w:rFonts w:ascii="Arial" w:eastAsia="Arial" w:hAnsi="Arial" w:cs="Arial"/>
                <w:sz w:val="24"/>
                <w:szCs w:val="24"/>
              </w:rPr>
              <w:t>Service Level Performance Measure</w:t>
            </w:r>
          </w:p>
        </w:tc>
        <w:tc>
          <w:tcPr>
            <w:tcW w:w="1440" w:type="dxa"/>
            <w:shd w:val="clear" w:color="auto" w:fill="D9D9D9"/>
          </w:tcPr>
          <w:p w:rsidR="005276CA" w:rsidRDefault="00C93DE7">
            <w:pPr>
              <w:ind w:left="95"/>
              <w:rPr>
                <w:rFonts w:ascii="Arial" w:eastAsia="Arial" w:hAnsi="Arial" w:cs="Arial"/>
                <w:sz w:val="24"/>
                <w:szCs w:val="24"/>
              </w:rPr>
            </w:pPr>
            <w:r>
              <w:rPr>
                <w:rFonts w:ascii="Arial" w:eastAsia="Arial" w:hAnsi="Arial" w:cs="Arial"/>
                <w:sz w:val="24"/>
                <w:szCs w:val="24"/>
              </w:rPr>
              <w:t>Service Level Threshold</w:t>
            </w:r>
          </w:p>
        </w:tc>
        <w:tc>
          <w:tcPr>
            <w:tcW w:w="1305" w:type="dxa"/>
            <w:vMerge/>
            <w:shd w:val="clear" w:color="auto" w:fill="D9D9D9"/>
            <w:vAlign w:val="center"/>
          </w:tcPr>
          <w:p w:rsidR="005276CA" w:rsidRDefault="005276CA">
            <w:pPr>
              <w:widowControl w:val="0"/>
              <w:pBdr>
                <w:top w:val="nil"/>
                <w:left w:val="nil"/>
                <w:bottom w:val="nil"/>
                <w:right w:val="nil"/>
                <w:between w:val="nil"/>
              </w:pBdr>
              <w:spacing w:line="276" w:lineRule="auto"/>
              <w:rPr>
                <w:rFonts w:ascii="Arial" w:eastAsia="Arial" w:hAnsi="Arial" w:cs="Arial"/>
                <w:sz w:val="24"/>
                <w:szCs w:val="24"/>
              </w:rPr>
            </w:pPr>
          </w:p>
        </w:tc>
      </w:tr>
      <w:tr w:rsidR="005276CA">
        <w:trPr>
          <w:trHeight w:val="1474"/>
          <w:jc w:val="center"/>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276CA" w:rsidRDefault="00C93DE7">
            <w:pPr>
              <w:spacing w:before="240" w:after="240" w:line="276" w:lineRule="auto"/>
              <w:jc w:val="center"/>
              <w:rPr>
                <w:rFonts w:ascii="Arial" w:eastAsia="Arial" w:hAnsi="Arial" w:cs="Arial"/>
              </w:rPr>
            </w:pPr>
            <w:r>
              <w:rPr>
                <w:rFonts w:ascii="Arial" w:eastAsia="Arial" w:hAnsi="Arial" w:cs="Arial"/>
              </w:rPr>
              <w:t>1</w:t>
            </w:r>
          </w:p>
        </w:tc>
        <w:tc>
          <w:tcPr>
            <w:tcW w:w="13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276CA" w:rsidRDefault="00C93DE7">
            <w:pPr>
              <w:spacing w:before="240" w:after="240" w:line="276" w:lineRule="auto"/>
              <w:rPr>
                <w:rFonts w:ascii="Arial" w:eastAsia="Arial" w:hAnsi="Arial" w:cs="Arial"/>
              </w:rPr>
            </w:pPr>
            <w:r>
              <w:rPr>
                <w:rFonts w:ascii="Arial" w:eastAsia="Arial" w:hAnsi="Arial" w:cs="Arial"/>
              </w:rPr>
              <w:t>Vehicle Availability</w:t>
            </w:r>
          </w:p>
        </w:tc>
        <w:tc>
          <w:tcPr>
            <w:tcW w:w="26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276CA" w:rsidRDefault="00C93DE7">
            <w:pPr>
              <w:spacing w:before="240" w:after="240" w:line="276" w:lineRule="auto"/>
              <w:rPr>
                <w:rFonts w:ascii="Arial" w:eastAsia="Arial" w:hAnsi="Arial" w:cs="Arial"/>
                <w:sz w:val="16"/>
                <w:szCs w:val="16"/>
              </w:rPr>
            </w:pPr>
            <w:r>
              <w:rPr>
                <w:rFonts w:ascii="Arial" w:eastAsia="Arial" w:hAnsi="Arial" w:cs="Arial"/>
              </w:rPr>
              <w:t xml:space="preserve">Fulfilling a booking in relation to supply of the correct specification/group of </w:t>
            </w:r>
            <w:proofErr w:type="gramStart"/>
            <w:r>
              <w:rPr>
                <w:rFonts w:ascii="Arial" w:eastAsia="Arial" w:hAnsi="Arial" w:cs="Arial"/>
              </w:rPr>
              <w:t>vehicle</w:t>
            </w:r>
            <w:proofErr w:type="gramEnd"/>
            <w:r>
              <w:rPr>
                <w:rFonts w:ascii="Arial" w:eastAsia="Arial" w:hAnsi="Arial" w:cs="Arial"/>
              </w:rPr>
              <w:t>, within the ordered timeframe, or offering an alternative vehicle specification/group or delivery means, which is acceptable to the customer</w:t>
            </w:r>
            <w:r>
              <w:rPr>
                <w:rFonts w:ascii="Arial" w:eastAsia="Arial" w:hAnsi="Arial" w:cs="Arial"/>
                <w:sz w:val="16"/>
                <w:szCs w:val="16"/>
              </w:rPr>
              <w:t>.</w:t>
            </w:r>
          </w:p>
          <w:p w:rsidR="005276CA" w:rsidRDefault="00C93DE7">
            <w:pPr>
              <w:spacing w:before="240" w:after="240" w:line="276" w:lineRule="auto"/>
              <w:rPr>
                <w:rFonts w:ascii="Arial" w:eastAsia="Arial" w:hAnsi="Arial" w:cs="Arial"/>
              </w:rPr>
            </w:pPr>
            <w:r>
              <w:rPr>
                <w:rFonts w:ascii="Arial" w:eastAsia="Arial" w:hAnsi="Arial" w:cs="Arial"/>
              </w:rPr>
              <w:t xml:space="preserve">Suppliers are required to provide evidence of vehicle booked compared with vehicle offered/supplied including when cancelled or not delivered by the Supplier.  </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276CA" w:rsidRDefault="00C93DE7">
            <w:pPr>
              <w:spacing w:before="240" w:after="240" w:line="276" w:lineRule="auto"/>
              <w:ind w:firstLine="200"/>
              <w:rPr>
                <w:rFonts w:ascii="Arial" w:eastAsia="Arial" w:hAnsi="Arial" w:cs="Arial"/>
                <w:b/>
                <w:sz w:val="16"/>
                <w:szCs w:val="16"/>
              </w:rPr>
            </w:pPr>
            <w:r>
              <w:rPr>
                <w:rFonts w:ascii="Arial" w:eastAsia="Arial" w:hAnsi="Arial" w:cs="Arial"/>
              </w:rPr>
              <w:t>98%</w:t>
            </w:r>
          </w:p>
        </w:tc>
        <w:tc>
          <w:tcPr>
            <w:tcW w:w="1305" w:type="dxa"/>
          </w:tcPr>
          <w:p w:rsidR="005276CA" w:rsidRDefault="00C93DE7">
            <w:pPr>
              <w:spacing w:after="120"/>
              <w:ind w:left="95"/>
              <w:rPr>
                <w:rFonts w:ascii="Arial" w:eastAsia="Arial" w:hAnsi="Arial" w:cs="Arial"/>
              </w:rPr>
            </w:pPr>
            <w:r>
              <w:rPr>
                <w:rFonts w:ascii="Arial" w:eastAsia="Arial" w:hAnsi="Arial" w:cs="Arial"/>
              </w:rPr>
              <w:t>0.5% Service Credit gained for each percentage under the specified Service Level Performance Measure</w:t>
            </w:r>
          </w:p>
        </w:tc>
      </w:tr>
      <w:tr w:rsidR="005276CA">
        <w:trPr>
          <w:trHeight w:val="1474"/>
          <w:jc w:val="center"/>
        </w:trPr>
        <w:tc>
          <w:tcPr>
            <w:tcW w:w="1725" w:type="dxa"/>
          </w:tcPr>
          <w:p w:rsidR="005276CA" w:rsidRDefault="00C93DE7">
            <w:pPr>
              <w:spacing w:after="120"/>
              <w:ind w:left="61"/>
              <w:jc w:val="center"/>
              <w:rPr>
                <w:rFonts w:ascii="Arial" w:eastAsia="Arial" w:hAnsi="Arial" w:cs="Arial"/>
              </w:rPr>
            </w:pPr>
            <w:r>
              <w:rPr>
                <w:rFonts w:ascii="Arial" w:eastAsia="Arial" w:hAnsi="Arial" w:cs="Arial"/>
              </w:rPr>
              <w:t>2</w:t>
            </w:r>
          </w:p>
          <w:p w:rsidR="005276CA" w:rsidRDefault="005276CA">
            <w:pPr>
              <w:spacing w:after="120"/>
              <w:ind w:left="61"/>
              <w:rPr>
                <w:rFonts w:ascii="Arial" w:eastAsia="Arial" w:hAnsi="Arial" w:cs="Arial"/>
              </w:rPr>
            </w:pPr>
          </w:p>
        </w:tc>
        <w:tc>
          <w:tcPr>
            <w:tcW w:w="1380" w:type="dxa"/>
          </w:tcPr>
          <w:p w:rsidR="005276CA" w:rsidRDefault="00C93DE7">
            <w:pPr>
              <w:spacing w:after="120"/>
              <w:ind w:left="95"/>
              <w:rPr>
                <w:rFonts w:ascii="Arial" w:eastAsia="Arial" w:hAnsi="Arial" w:cs="Arial"/>
              </w:rPr>
            </w:pPr>
            <w:r>
              <w:rPr>
                <w:rFonts w:ascii="Arial" w:eastAsia="Arial" w:hAnsi="Arial" w:cs="Arial"/>
              </w:rPr>
              <w:t xml:space="preserve">Invoicing </w:t>
            </w:r>
          </w:p>
          <w:p w:rsidR="005276CA" w:rsidRDefault="005276CA">
            <w:pPr>
              <w:spacing w:after="120"/>
              <w:ind w:left="95"/>
              <w:rPr>
                <w:rFonts w:ascii="Arial" w:eastAsia="Arial" w:hAnsi="Arial" w:cs="Arial"/>
              </w:rPr>
            </w:pPr>
          </w:p>
          <w:p w:rsidR="005276CA" w:rsidRDefault="005276CA">
            <w:pPr>
              <w:spacing w:after="120"/>
              <w:ind w:left="95"/>
              <w:rPr>
                <w:rFonts w:ascii="Arial" w:eastAsia="Arial" w:hAnsi="Arial" w:cs="Arial"/>
              </w:rPr>
            </w:pPr>
          </w:p>
        </w:tc>
        <w:tc>
          <w:tcPr>
            <w:tcW w:w="2655" w:type="dxa"/>
          </w:tcPr>
          <w:p w:rsidR="005276CA" w:rsidRDefault="00C93DE7">
            <w:pPr>
              <w:spacing w:before="240" w:after="240" w:line="276" w:lineRule="auto"/>
              <w:rPr>
                <w:rFonts w:ascii="Arial" w:eastAsia="Arial" w:hAnsi="Arial" w:cs="Arial"/>
              </w:rPr>
            </w:pPr>
            <w:r>
              <w:rPr>
                <w:rFonts w:ascii="Arial" w:eastAsia="Arial" w:hAnsi="Arial" w:cs="Arial"/>
              </w:rPr>
              <w:t>The Supplier shall provide Buyers with accurate invoices each month.</w:t>
            </w:r>
          </w:p>
          <w:p w:rsidR="005276CA" w:rsidRDefault="00C93DE7">
            <w:pPr>
              <w:spacing w:before="240" w:after="240" w:line="276" w:lineRule="auto"/>
              <w:rPr>
                <w:rFonts w:ascii="Arial" w:eastAsia="Arial" w:hAnsi="Arial" w:cs="Arial"/>
              </w:rPr>
            </w:pPr>
            <w:r>
              <w:rPr>
                <w:rFonts w:ascii="Arial" w:eastAsia="Arial" w:hAnsi="Arial" w:cs="Arial"/>
              </w:rPr>
              <w:t xml:space="preserve">Accuracy is based on all lines being reported with no errors, resulting in an undisputed consolidated invoice. </w:t>
            </w:r>
          </w:p>
          <w:p w:rsidR="005276CA" w:rsidRDefault="005276CA">
            <w:pPr>
              <w:spacing w:after="120"/>
              <w:rPr>
                <w:rFonts w:ascii="Arial" w:eastAsia="Arial" w:hAnsi="Arial" w:cs="Arial"/>
              </w:rPr>
            </w:pPr>
          </w:p>
        </w:tc>
        <w:tc>
          <w:tcPr>
            <w:tcW w:w="1440" w:type="dxa"/>
          </w:tcPr>
          <w:p w:rsidR="005276CA" w:rsidRDefault="00C93DE7">
            <w:pPr>
              <w:spacing w:before="240" w:after="240" w:line="276" w:lineRule="auto"/>
              <w:rPr>
                <w:rFonts w:ascii="Arial" w:eastAsia="Arial" w:hAnsi="Arial" w:cs="Arial"/>
              </w:rPr>
            </w:pPr>
            <w:r>
              <w:rPr>
                <w:rFonts w:ascii="Arial" w:eastAsia="Arial" w:hAnsi="Arial" w:cs="Arial"/>
              </w:rPr>
              <w:t xml:space="preserve">80% (4 out of 5) of monthly reports which are accurate over a </w:t>
            </w:r>
            <w:proofErr w:type="gramStart"/>
            <w:r>
              <w:rPr>
                <w:rFonts w:ascii="Arial" w:eastAsia="Arial" w:hAnsi="Arial" w:cs="Arial"/>
              </w:rPr>
              <w:t>5 month</w:t>
            </w:r>
            <w:proofErr w:type="gramEnd"/>
            <w:r>
              <w:rPr>
                <w:rFonts w:ascii="Arial" w:eastAsia="Arial" w:hAnsi="Arial" w:cs="Arial"/>
              </w:rPr>
              <w:t xml:space="preserve"> period. Each monthly invoice carries 20% weighting</w:t>
            </w:r>
          </w:p>
        </w:tc>
        <w:tc>
          <w:tcPr>
            <w:tcW w:w="1305" w:type="dxa"/>
          </w:tcPr>
          <w:p w:rsidR="005276CA" w:rsidRDefault="00C93DE7">
            <w:pPr>
              <w:spacing w:after="120"/>
              <w:ind w:left="95"/>
              <w:rPr>
                <w:rFonts w:ascii="Arial" w:eastAsia="Arial" w:hAnsi="Arial" w:cs="Arial"/>
              </w:rPr>
            </w:pPr>
            <w:r>
              <w:rPr>
                <w:rFonts w:ascii="Arial" w:eastAsia="Arial" w:hAnsi="Arial" w:cs="Arial"/>
              </w:rPr>
              <w:t>0.2% Service Credit gained for each percentage under the specified Service Level Performance Measure</w:t>
            </w:r>
          </w:p>
        </w:tc>
      </w:tr>
      <w:tr w:rsidR="005276CA">
        <w:trPr>
          <w:trHeight w:val="1474"/>
          <w:jc w:val="center"/>
        </w:trPr>
        <w:tc>
          <w:tcPr>
            <w:tcW w:w="1725" w:type="dxa"/>
          </w:tcPr>
          <w:p w:rsidR="005276CA" w:rsidRDefault="00C93DE7">
            <w:pPr>
              <w:spacing w:after="120"/>
              <w:ind w:left="61"/>
              <w:rPr>
                <w:rFonts w:ascii="Arial" w:eastAsia="Arial" w:hAnsi="Arial" w:cs="Arial"/>
              </w:rPr>
            </w:pPr>
            <w:r>
              <w:rPr>
                <w:rFonts w:ascii="Arial" w:eastAsia="Arial" w:hAnsi="Arial" w:cs="Arial"/>
              </w:rPr>
              <w:lastRenderedPageBreak/>
              <w:t>3</w:t>
            </w:r>
          </w:p>
        </w:tc>
        <w:tc>
          <w:tcPr>
            <w:tcW w:w="1380" w:type="dxa"/>
          </w:tcPr>
          <w:p w:rsidR="005276CA" w:rsidRDefault="00C93DE7">
            <w:pPr>
              <w:spacing w:after="120"/>
              <w:ind w:left="95"/>
              <w:rPr>
                <w:rFonts w:ascii="Arial" w:eastAsia="Arial" w:hAnsi="Arial" w:cs="Arial"/>
              </w:rPr>
            </w:pPr>
            <w:r>
              <w:rPr>
                <w:rFonts w:ascii="Arial" w:eastAsia="Arial" w:hAnsi="Arial" w:cs="Arial"/>
              </w:rPr>
              <w:t>Vehicle traffic violations</w:t>
            </w:r>
          </w:p>
        </w:tc>
        <w:tc>
          <w:tcPr>
            <w:tcW w:w="2655" w:type="dxa"/>
          </w:tcPr>
          <w:p w:rsidR="005276CA" w:rsidRDefault="00C93DE7">
            <w:pPr>
              <w:spacing w:before="240" w:after="240" w:line="276" w:lineRule="auto"/>
              <w:rPr>
                <w:rFonts w:ascii="Arial" w:eastAsia="Arial" w:hAnsi="Arial" w:cs="Arial"/>
              </w:rPr>
            </w:pPr>
            <w:r>
              <w:rPr>
                <w:rFonts w:ascii="Arial" w:eastAsia="Arial" w:hAnsi="Arial" w:cs="Arial"/>
              </w:rPr>
              <w:t xml:space="preserve">Supplier payment of issued fines within initial permitted period set out by the penalties clerk and Supplier contacting Buyer on 100% of occasions within </w:t>
            </w:r>
            <w:r w:rsidR="006649C7">
              <w:rPr>
                <w:rFonts w:ascii="Arial" w:eastAsia="Arial" w:hAnsi="Arial" w:cs="Arial"/>
              </w:rPr>
              <w:t>5 working days</w:t>
            </w:r>
            <w:r>
              <w:rPr>
                <w:rFonts w:ascii="Arial" w:eastAsia="Arial" w:hAnsi="Arial" w:cs="Arial"/>
              </w:rPr>
              <w:t xml:space="preserve"> to advise of corresp</w:t>
            </w:r>
            <w:bookmarkStart w:id="0" w:name="_GoBack"/>
            <w:bookmarkEnd w:id="0"/>
            <w:r>
              <w:rPr>
                <w:rFonts w:ascii="Arial" w:eastAsia="Arial" w:hAnsi="Arial" w:cs="Arial"/>
              </w:rPr>
              <w:t>ondence, summons or fine issue</w:t>
            </w:r>
            <w:r w:rsidR="001F0FE8">
              <w:rPr>
                <w:rFonts w:ascii="Arial" w:eastAsia="Arial" w:hAnsi="Arial" w:cs="Arial"/>
              </w:rPr>
              <w:t>.</w:t>
            </w:r>
          </w:p>
        </w:tc>
        <w:tc>
          <w:tcPr>
            <w:tcW w:w="1440" w:type="dxa"/>
          </w:tcPr>
          <w:p w:rsidR="005276CA" w:rsidRDefault="00C93DE7">
            <w:pPr>
              <w:spacing w:after="120"/>
              <w:ind w:left="95"/>
              <w:rPr>
                <w:rFonts w:ascii="Arial" w:eastAsia="Arial" w:hAnsi="Arial" w:cs="Arial"/>
              </w:rPr>
            </w:pPr>
            <w:r>
              <w:rPr>
                <w:rFonts w:ascii="Arial" w:eastAsia="Arial" w:hAnsi="Arial" w:cs="Arial"/>
              </w:rPr>
              <w:t>100%</w:t>
            </w:r>
          </w:p>
        </w:tc>
        <w:tc>
          <w:tcPr>
            <w:tcW w:w="1305" w:type="dxa"/>
          </w:tcPr>
          <w:p w:rsidR="005276CA" w:rsidRDefault="00C93DE7">
            <w:pPr>
              <w:spacing w:after="120"/>
              <w:ind w:left="95"/>
              <w:rPr>
                <w:rFonts w:ascii="Arial" w:eastAsia="Arial" w:hAnsi="Arial" w:cs="Arial"/>
              </w:rPr>
            </w:pPr>
            <w:r>
              <w:rPr>
                <w:rFonts w:ascii="Arial" w:eastAsia="Arial" w:hAnsi="Arial" w:cs="Arial"/>
              </w:rPr>
              <w:t>0.</w:t>
            </w:r>
            <w:r w:rsidR="006C4174">
              <w:rPr>
                <w:rFonts w:ascii="Arial" w:eastAsia="Arial" w:hAnsi="Arial" w:cs="Arial"/>
              </w:rPr>
              <w:t>1</w:t>
            </w:r>
            <w:r>
              <w:rPr>
                <w:rFonts w:ascii="Arial" w:eastAsia="Arial" w:hAnsi="Arial" w:cs="Arial"/>
              </w:rPr>
              <w:t>% Service Credit gained for each percentage under the specified Service Level Performance Measure</w:t>
            </w:r>
          </w:p>
        </w:tc>
      </w:tr>
      <w:tr w:rsidR="005276CA">
        <w:trPr>
          <w:trHeight w:val="1474"/>
          <w:jc w:val="center"/>
        </w:trPr>
        <w:tc>
          <w:tcPr>
            <w:tcW w:w="1725" w:type="dxa"/>
          </w:tcPr>
          <w:p w:rsidR="005276CA" w:rsidRDefault="00C93DE7">
            <w:pPr>
              <w:spacing w:after="120"/>
              <w:ind w:left="61"/>
              <w:rPr>
                <w:rFonts w:ascii="Arial" w:eastAsia="Arial" w:hAnsi="Arial" w:cs="Arial"/>
              </w:rPr>
            </w:pPr>
            <w:r>
              <w:rPr>
                <w:rFonts w:ascii="Arial" w:eastAsia="Arial" w:hAnsi="Arial" w:cs="Arial"/>
              </w:rPr>
              <w:t>4</w:t>
            </w:r>
          </w:p>
        </w:tc>
        <w:tc>
          <w:tcPr>
            <w:tcW w:w="1380" w:type="dxa"/>
          </w:tcPr>
          <w:p w:rsidR="005276CA" w:rsidRDefault="00C93DE7">
            <w:pPr>
              <w:spacing w:after="120"/>
              <w:ind w:left="95"/>
              <w:rPr>
                <w:rFonts w:ascii="Arial" w:eastAsia="Arial" w:hAnsi="Arial" w:cs="Arial"/>
              </w:rPr>
            </w:pPr>
            <w:r>
              <w:rPr>
                <w:rFonts w:ascii="Arial" w:eastAsia="Arial" w:hAnsi="Arial" w:cs="Arial"/>
              </w:rPr>
              <w:t>Social Value Review</w:t>
            </w:r>
          </w:p>
        </w:tc>
        <w:tc>
          <w:tcPr>
            <w:tcW w:w="2655" w:type="dxa"/>
          </w:tcPr>
          <w:p w:rsidR="005276CA" w:rsidRDefault="00C93DE7">
            <w:pPr>
              <w:spacing w:before="240" w:after="240" w:line="276" w:lineRule="auto"/>
              <w:rPr>
                <w:rFonts w:ascii="Arial" w:eastAsia="Arial" w:hAnsi="Arial" w:cs="Arial"/>
              </w:rPr>
            </w:pPr>
            <w:r>
              <w:rPr>
                <w:rFonts w:ascii="Arial" w:eastAsia="Arial" w:hAnsi="Arial" w:cs="Arial"/>
              </w:rPr>
              <w:t xml:space="preserve">For contracts where a Further Competition took place or Direct Awards over £100,000 spend per annum, on-time submission of an annual Social Value Review no later than one month following the anniversary of the Call-Off Contract go-live date. </w:t>
            </w:r>
          </w:p>
        </w:tc>
        <w:tc>
          <w:tcPr>
            <w:tcW w:w="1440" w:type="dxa"/>
          </w:tcPr>
          <w:p w:rsidR="005276CA" w:rsidRDefault="00C93DE7">
            <w:pPr>
              <w:spacing w:after="120"/>
              <w:ind w:left="95"/>
              <w:rPr>
                <w:rFonts w:ascii="Arial" w:eastAsia="Arial" w:hAnsi="Arial" w:cs="Arial"/>
              </w:rPr>
            </w:pPr>
            <w:r>
              <w:rPr>
                <w:rFonts w:ascii="Arial" w:eastAsia="Arial" w:hAnsi="Arial" w:cs="Arial"/>
              </w:rPr>
              <w:t>100%</w:t>
            </w:r>
          </w:p>
        </w:tc>
        <w:tc>
          <w:tcPr>
            <w:tcW w:w="1305" w:type="dxa"/>
          </w:tcPr>
          <w:p w:rsidR="005276CA" w:rsidRDefault="00C93DE7">
            <w:pPr>
              <w:spacing w:after="120"/>
              <w:ind w:left="95"/>
              <w:rPr>
                <w:rFonts w:ascii="Arial" w:eastAsia="Arial" w:hAnsi="Arial" w:cs="Arial"/>
              </w:rPr>
            </w:pPr>
            <w:r>
              <w:rPr>
                <w:rFonts w:ascii="Arial" w:eastAsia="Arial" w:hAnsi="Arial" w:cs="Arial"/>
              </w:rPr>
              <w:t>N/A</w:t>
            </w:r>
          </w:p>
        </w:tc>
      </w:tr>
    </w:tbl>
    <w:p w:rsidR="005276CA" w:rsidRDefault="005276CA">
      <w:pPr>
        <w:ind w:left="709"/>
        <w:rPr>
          <w:rFonts w:ascii="Arial" w:eastAsia="Arial" w:hAnsi="Arial" w:cs="Arial"/>
          <w:sz w:val="24"/>
          <w:szCs w:val="24"/>
          <w:highlight w:val="green"/>
        </w:rPr>
      </w:pPr>
    </w:p>
    <w:p w:rsidR="005276CA" w:rsidRDefault="00C93DE7">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rsidR="005276CA" w:rsidRDefault="00C93DE7">
      <w:pPr>
        <w:ind w:left="709"/>
        <w:rPr>
          <w:rFonts w:ascii="Arial" w:eastAsia="Arial" w:hAnsi="Arial" w:cs="Arial"/>
          <w:sz w:val="24"/>
          <w:szCs w:val="24"/>
          <w:highlight w:val="yellow"/>
        </w:rPr>
      </w:pPr>
      <w:r>
        <w:rPr>
          <w:rFonts w:ascii="Arial" w:eastAsia="Arial" w:hAnsi="Arial" w:cs="Arial"/>
          <w:sz w:val="24"/>
          <w:szCs w:val="24"/>
          <w:highlight w:val="yellow"/>
        </w:rPr>
        <w:t>[Example:</w:t>
      </w:r>
    </w:p>
    <w:tbl>
      <w:tblPr>
        <w:tblStyle w:val="a4"/>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75"/>
        <w:gridCol w:w="685"/>
        <w:gridCol w:w="3966"/>
      </w:tblGrid>
      <w:tr w:rsidR="005276CA">
        <w:tc>
          <w:tcPr>
            <w:tcW w:w="4375" w:type="dxa"/>
          </w:tcPr>
          <w:p w:rsidR="005276CA" w:rsidRDefault="00C93DE7">
            <w:pPr>
              <w:ind w:left="567"/>
              <w:rPr>
                <w:rFonts w:ascii="Arial" w:eastAsia="Arial" w:hAnsi="Arial" w:cs="Arial"/>
                <w:sz w:val="24"/>
                <w:szCs w:val="24"/>
              </w:rPr>
            </w:pPr>
            <w:r>
              <w:rPr>
                <w:rFonts w:ascii="Arial" w:eastAsia="Arial" w:hAnsi="Arial" w:cs="Arial"/>
                <w:sz w:val="24"/>
                <w:szCs w:val="24"/>
              </w:rPr>
              <w:t xml:space="preserve">Formula: x% (Service Level Threshold) - x% (actual Service Level performance)  </w:t>
            </w:r>
          </w:p>
        </w:tc>
        <w:tc>
          <w:tcPr>
            <w:tcW w:w="685" w:type="dxa"/>
          </w:tcPr>
          <w:p w:rsidR="005276CA" w:rsidRDefault="00C93DE7">
            <w:pPr>
              <w:ind w:left="211"/>
              <w:rPr>
                <w:rFonts w:ascii="Arial" w:eastAsia="Arial" w:hAnsi="Arial" w:cs="Arial"/>
                <w:sz w:val="24"/>
                <w:szCs w:val="24"/>
              </w:rPr>
            </w:pPr>
            <w:r>
              <w:rPr>
                <w:rFonts w:ascii="Arial" w:eastAsia="Arial" w:hAnsi="Arial" w:cs="Arial"/>
                <w:sz w:val="24"/>
                <w:szCs w:val="24"/>
              </w:rPr>
              <w:t>=</w:t>
            </w:r>
          </w:p>
        </w:tc>
        <w:tc>
          <w:tcPr>
            <w:tcW w:w="3966" w:type="dxa"/>
          </w:tcPr>
          <w:p w:rsidR="005276CA" w:rsidRDefault="00C93DE7">
            <w:pPr>
              <w:ind w:left="145"/>
              <w:rPr>
                <w:rFonts w:ascii="Arial" w:eastAsia="Arial" w:hAnsi="Arial" w:cs="Arial"/>
                <w:sz w:val="24"/>
                <w:szCs w:val="24"/>
              </w:rPr>
            </w:pPr>
            <w:r>
              <w:rPr>
                <w:rFonts w:ascii="Arial" w:eastAsia="Arial" w:hAnsi="Arial" w:cs="Arial"/>
                <w:sz w:val="24"/>
                <w:szCs w:val="24"/>
              </w:rPr>
              <w:t>x multiplied by the Service Credit rate in the table above to calculate the Charges payable to the Buyer as Service Credits to be deducted from the next Invoice payable by the Buyer</w:t>
            </w:r>
          </w:p>
        </w:tc>
      </w:tr>
      <w:tr w:rsidR="005276CA">
        <w:tc>
          <w:tcPr>
            <w:tcW w:w="4375" w:type="dxa"/>
          </w:tcPr>
          <w:p w:rsidR="005276CA" w:rsidRDefault="00C93DE7">
            <w:pPr>
              <w:ind w:left="567"/>
              <w:rPr>
                <w:rFonts w:ascii="Arial" w:eastAsia="Arial" w:hAnsi="Arial" w:cs="Arial"/>
                <w:sz w:val="24"/>
                <w:szCs w:val="24"/>
              </w:rPr>
            </w:pPr>
            <w:r>
              <w:rPr>
                <w:rFonts w:ascii="Arial" w:eastAsia="Arial" w:hAnsi="Arial" w:cs="Arial"/>
                <w:sz w:val="24"/>
                <w:szCs w:val="24"/>
              </w:rPr>
              <w:t xml:space="preserve">Worked example: 98% (e.g. Service Level Threshold for </w:t>
            </w:r>
            <w:r>
              <w:rPr>
                <w:rFonts w:ascii="Arial" w:eastAsia="Arial" w:hAnsi="Arial" w:cs="Arial"/>
                <w:b/>
                <w:sz w:val="24"/>
                <w:szCs w:val="24"/>
              </w:rPr>
              <w:t>Vehicle Availability</w:t>
            </w:r>
            <w:r>
              <w:rPr>
                <w:rFonts w:ascii="Arial" w:eastAsia="Arial" w:hAnsi="Arial" w:cs="Arial"/>
                <w:sz w:val="24"/>
                <w:szCs w:val="24"/>
              </w:rPr>
              <w:t xml:space="preserve"> Service </w:t>
            </w:r>
            <w:r>
              <w:rPr>
                <w:rFonts w:ascii="Arial" w:eastAsia="Arial" w:hAnsi="Arial" w:cs="Arial"/>
                <w:sz w:val="24"/>
                <w:szCs w:val="24"/>
              </w:rPr>
              <w:lastRenderedPageBreak/>
              <w:t xml:space="preserve">Level) minus 75% (e.g. actual performance achieved against this Service Level in a Service Period) </w:t>
            </w:r>
          </w:p>
          <w:p w:rsidR="005276CA" w:rsidRDefault="005276CA">
            <w:pPr>
              <w:ind w:left="567"/>
              <w:rPr>
                <w:rFonts w:ascii="Arial" w:eastAsia="Arial" w:hAnsi="Arial" w:cs="Arial"/>
                <w:sz w:val="24"/>
                <w:szCs w:val="24"/>
              </w:rPr>
            </w:pPr>
          </w:p>
        </w:tc>
        <w:tc>
          <w:tcPr>
            <w:tcW w:w="685" w:type="dxa"/>
          </w:tcPr>
          <w:p w:rsidR="005276CA" w:rsidRDefault="00C93DE7">
            <w:pPr>
              <w:ind w:left="211"/>
              <w:rPr>
                <w:rFonts w:ascii="Arial" w:eastAsia="Arial" w:hAnsi="Arial" w:cs="Arial"/>
                <w:sz w:val="24"/>
                <w:szCs w:val="24"/>
              </w:rPr>
            </w:pPr>
            <w:r>
              <w:rPr>
                <w:rFonts w:ascii="Arial" w:eastAsia="Arial" w:hAnsi="Arial" w:cs="Arial"/>
                <w:sz w:val="24"/>
                <w:szCs w:val="24"/>
              </w:rPr>
              <w:lastRenderedPageBreak/>
              <w:t>=</w:t>
            </w:r>
          </w:p>
        </w:tc>
        <w:tc>
          <w:tcPr>
            <w:tcW w:w="3966" w:type="dxa"/>
          </w:tcPr>
          <w:p w:rsidR="005276CA" w:rsidRDefault="00C93DE7">
            <w:pPr>
              <w:ind w:left="145"/>
              <w:rPr>
                <w:rFonts w:ascii="Arial" w:eastAsia="Arial" w:hAnsi="Arial" w:cs="Arial"/>
                <w:sz w:val="24"/>
                <w:szCs w:val="24"/>
              </w:rPr>
            </w:pPr>
            <w:r>
              <w:rPr>
                <w:rFonts w:ascii="Arial" w:eastAsia="Arial" w:hAnsi="Arial" w:cs="Arial"/>
                <w:sz w:val="24"/>
                <w:szCs w:val="24"/>
              </w:rPr>
              <w:t xml:space="preserve">23 percentage points multiplied by the rate of 0.5% (Service Credit gained for each </w:t>
            </w:r>
            <w:r>
              <w:rPr>
                <w:rFonts w:ascii="Arial" w:eastAsia="Arial" w:hAnsi="Arial" w:cs="Arial"/>
                <w:sz w:val="24"/>
                <w:szCs w:val="24"/>
              </w:rPr>
              <w:lastRenderedPageBreak/>
              <w:t xml:space="preserve">percentage point under the specified Service Level Threshold for each Service Period) = 11.5% Service Credit gained. </w:t>
            </w:r>
          </w:p>
          <w:p w:rsidR="005276CA" w:rsidRDefault="00C93DE7">
            <w:pPr>
              <w:ind w:left="145"/>
              <w:rPr>
                <w:rFonts w:ascii="Arial" w:eastAsia="Arial" w:hAnsi="Arial" w:cs="Arial"/>
                <w:sz w:val="24"/>
                <w:szCs w:val="24"/>
              </w:rPr>
            </w:pPr>
            <w:r>
              <w:rPr>
                <w:rFonts w:ascii="Arial" w:eastAsia="Arial" w:hAnsi="Arial" w:cs="Arial"/>
                <w:sz w:val="24"/>
                <w:szCs w:val="24"/>
              </w:rPr>
              <w:t>Call-Off Contract Charges payable (e.g. £100,000) x 11.5% Service Credit gained = £11,500 Service Credits would be deducted from the next valid invoice payable by the Customer.</w:t>
            </w:r>
          </w:p>
          <w:p w:rsidR="005276CA" w:rsidRDefault="005276CA">
            <w:pPr>
              <w:ind w:left="145"/>
              <w:rPr>
                <w:rFonts w:ascii="Arial" w:eastAsia="Arial" w:hAnsi="Arial" w:cs="Arial"/>
                <w:sz w:val="24"/>
                <w:szCs w:val="24"/>
              </w:rPr>
            </w:pPr>
          </w:p>
        </w:tc>
      </w:tr>
    </w:tbl>
    <w:p w:rsidR="005276CA" w:rsidRDefault="00C93DE7">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lastRenderedPageBreak/>
        <w:br w:type="page"/>
      </w:r>
      <w:r>
        <w:rPr>
          <w:rFonts w:ascii="Arial Bold" w:eastAsia="Arial Bold" w:hAnsi="Arial Bold" w:cs="Arial Bold"/>
          <w:b/>
          <w:color w:val="000000"/>
          <w:sz w:val="36"/>
          <w:szCs w:val="36"/>
        </w:rPr>
        <w:lastRenderedPageBreak/>
        <w:t xml:space="preserve">Part B: Performance Monitoring </w:t>
      </w:r>
    </w:p>
    <w:p w:rsidR="005276CA" w:rsidRDefault="00C93DE7">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276CA" w:rsidRDefault="00C93DE7">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5276CA" w:rsidRDefault="00C93DE7">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5276CA" w:rsidRDefault="005276CA">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5276CA" w:rsidRDefault="00C93DE7">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5276CA" w:rsidRDefault="005276CA">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30j0zll" w:colFirst="0" w:colLast="0"/>
      <w:bookmarkEnd w:id="2"/>
    </w:p>
    <w:sectPr w:rsidR="005276CA">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4926" w:rsidRDefault="00924926">
      <w:pPr>
        <w:spacing w:after="0" w:line="240" w:lineRule="auto"/>
      </w:pPr>
      <w:r>
        <w:separator/>
      </w:r>
    </w:p>
  </w:endnote>
  <w:endnote w:type="continuationSeparator" w:id="0">
    <w:p w:rsidR="00924926" w:rsidRDefault="00924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6CA" w:rsidRDefault="005276CA">
    <w:pPr>
      <w:tabs>
        <w:tab w:val="center" w:pos="4513"/>
        <w:tab w:val="right" w:pos="9026"/>
      </w:tabs>
      <w:spacing w:after="0" w:line="240" w:lineRule="auto"/>
      <w:jc w:val="both"/>
    </w:pP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RM6265 Vehicle Hire Solutions</w:t>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C417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6CA" w:rsidRDefault="005276CA">
    <w:pPr>
      <w:tabs>
        <w:tab w:val="center" w:pos="4513"/>
        <w:tab w:val="right" w:pos="9026"/>
      </w:tabs>
      <w:spacing w:after="0" w:line="240" w:lineRule="auto"/>
      <w:jc w:val="both"/>
    </w:pP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5276CA" w:rsidRDefault="00C93DE7">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4926" w:rsidRDefault="00924926">
      <w:pPr>
        <w:spacing w:after="0" w:line="240" w:lineRule="auto"/>
      </w:pPr>
      <w:r>
        <w:separator/>
      </w:r>
    </w:p>
  </w:footnote>
  <w:footnote w:type="continuationSeparator" w:id="0">
    <w:p w:rsidR="00924926" w:rsidRDefault="009249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rsidR="005276CA" w:rsidRDefault="005276CA">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77EDE"/>
    <w:multiLevelType w:val="multilevel"/>
    <w:tmpl w:val="B360EF58"/>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0155A99"/>
    <w:multiLevelType w:val="multilevel"/>
    <w:tmpl w:val="BB4E4902"/>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8C62240"/>
    <w:multiLevelType w:val="multilevel"/>
    <w:tmpl w:val="49104422"/>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EA1406F"/>
    <w:multiLevelType w:val="multilevel"/>
    <w:tmpl w:val="57E2F79E"/>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6CA"/>
    <w:rsid w:val="001F0FE8"/>
    <w:rsid w:val="005276CA"/>
    <w:rsid w:val="006649C7"/>
    <w:rsid w:val="006C4174"/>
    <w:rsid w:val="006C5655"/>
    <w:rsid w:val="00924926"/>
    <w:rsid w:val="00C93D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D17B7"/>
  <w15:docId w15:val="{7F34D44B-C3C7-4A85-9A6A-76D0AD606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HjjGYr2LIHCfsTUz5WVpqUQe6g==">AMUW2mX+aK6yO58E2vlwp/zR8fPaoIwHORsL6KO0Q9NDAlsPUH3jW7isOVIN5Jpqr01UNfeB8p6X4jL1F9RjiPSuxSmxOzVEoYuECA1tHD1hTO1gwLDPZb+u7VaL+i9KZkvcKNMJWo8r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1633</Words>
  <Characters>9314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David Baker</cp:lastModifiedBy>
  <cp:revision>2</cp:revision>
  <dcterms:created xsi:type="dcterms:W3CDTF">2022-11-30T17:06:00Z</dcterms:created>
  <dcterms:modified xsi:type="dcterms:W3CDTF">2022-11-30T17:06:00Z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